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DEE" w:rsidRPr="00045500" w:rsidRDefault="00A87DEE" w:rsidP="00A87DEE">
      <w:pPr>
        <w:bidi/>
        <w:jc w:val="center"/>
        <w:rPr>
          <w:rtl/>
        </w:rPr>
      </w:pPr>
      <w:r w:rsidRPr="00A87DEE">
        <w:drawing>
          <wp:inline distT="0" distB="0" distL="0" distR="0">
            <wp:extent cx="2432050" cy="990600"/>
            <wp:effectExtent l="0" t="0" r="0" b="0"/>
            <wp:docPr id="5" name="Image 3" descr="C:\Users\inovantis\Desktop\ESSAT\Logo ESSAT.png"/>
            <wp:cNvGraphicFramePr/>
            <a:graphic xmlns:a="http://schemas.openxmlformats.org/drawingml/2006/main">
              <a:graphicData uri="http://schemas.openxmlformats.org/drawingml/2006/picture">
                <pic:pic xmlns:pic="http://schemas.openxmlformats.org/drawingml/2006/picture">
                  <pic:nvPicPr>
                    <pic:cNvPr id="5" name="Picture 2" descr="C:\Users\inovantis\Desktop\ESSAT\Logo ESSAT.png"/>
                    <pic:cNvPicPr>
                      <a:picLocks noChangeAspect="1" noChangeArrowheads="1"/>
                    </pic:cNvPicPr>
                  </pic:nvPicPr>
                  <pic:blipFill>
                    <a:blip r:embed="rId4" cstate="print">
                      <a:extLst>
                        <a:ext uri="{28A0092B-C50C-407E-A947-70E740481C1C}">
                          <a14:useLocalDpi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2431385" cy="990329"/>
                    </a:xfrm>
                    <a:prstGeom prst="rect">
                      <a:avLst/>
                    </a:prstGeom>
                    <a:noFill/>
                    <a:extLst>
                      <a:ext uri="{909E8E84-426E-40DD-AFC4-6F175D3DCCD1}">
                        <a14:hiddenFill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r w:rsidRPr="00A87DEE">
        <w:drawing>
          <wp:inline distT="0" distB="0" distL="0" distR="0">
            <wp:extent cx="952500" cy="939800"/>
            <wp:effectExtent l="19050" t="0" r="0" b="0"/>
            <wp:docPr id="6" name="Image 4" descr="https://scontent.falg7-1.fna.fbcdn.net/v/t39.30808-6/426288879_877841501015878_2890756925123276437_n.jpg?_nc_cat=111&amp;ccb=1-7&amp;_nc_sid=5f2048&amp;_nc_ohc=O0Fi7oygb_cQ7kNvgHx7AC8&amp;_nc_ht=scontent.falg7-1.fna&amp;oh=00_AYB8bvX76THMIK58KSWQoJujp9fSnMSzxQVqt2J38CRD_w&amp;oe=6643A447"/>
            <wp:cNvGraphicFramePr/>
            <a:graphic xmlns:a="http://schemas.openxmlformats.org/drawingml/2006/main">
              <a:graphicData uri="http://schemas.openxmlformats.org/drawingml/2006/picture">
                <pic:pic xmlns:pic="http://schemas.openxmlformats.org/drawingml/2006/picture">
                  <pic:nvPicPr>
                    <pic:cNvPr id="19" name="Picture 2" descr="https://scontent.falg7-1.fna.fbcdn.net/v/t39.30808-6/426288879_877841501015878_2890756925123276437_n.jpg?_nc_cat=111&amp;ccb=1-7&amp;_nc_sid=5f2048&amp;_nc_ohc=O0Fi7oygb_cQ7kNvgHx7AC8&amp;_nc_ht=scontent.falg7-1.fna&amp;oh=00_AYB8bvX76THMIK58KSWQoJujp9fSnMSzxQVqt2J38CRD_w&amp;oe=6643A447"/>
                    <pic:cNvPicPr>
                      <a:picLocks noChangeAspect="1" noChangeArrowheads="1"/>
                    </pic:cNvPicPr>
                  </pic:nvPicPr>
                  <pic:blipFill>
                    <a:blip r:embed="rId5" cstate="print"/>
                    <a:srcRect/>
                    <a:stretch>
                      <a:fillRect/>
                    </a:stretch>
                  </pic:blipFill>
                  <pic:spPr bwMode="auto">
                    <a:xfrm>
                      <a:off x="0" y="0"/>
                      <a:ext cx="952237" cy="939541"/>
                    </a:xfrm>
                    <a:prstGeom prst="rect">
                      <a:avLst/>
                    </a:prstGeom>
                    <a:noFill/>
                  </pic:spPr>
                </pic:pic>
              </a:graphicData>
            </a:graphic>
          </wp:inline>
        </w:drawing>
      </w:r>
    </w:p>
    <w:p w:rsidR="00045500" w:rsidRPr="00FC38EC" w:rsidRDefault="00540F70" w:rsidP="00BC2291">
      <w:pPr>
        <w:bidi/>
        <w:rPr>
          <w:rFonts w:asciiTheme="majorBidi" w:hAnsiTheme="majorBidi" w:cstheme="majorBidi"/>
          <w:b/>
          <w:bCs/>
          <w:sz w:val="24"/>
          <w:szCs w:val="24"/>
        </w:rPr>
      </w:pPr>
      <w:r w:rsidRPr="00FC38EC">
        <w:rPr>
          <w:rFonts w:asciiTheme="majorBidi" w:hAnsiTheme="majorBidi" w:cstheme="majorBidi"/>
          <w:b/>
          <w:bCs/>
          <w:sz w:val="24"/>
          <w:szCs w:val="24"/>
          <w:rtl/>
        </w:rPr>
        <w:t xml:space="preserve">مركز تطوير </w:t>
      </w:r>
      <w:proofErr w:type="spellStart"/>
      <w:r w:rsidR="00BC2291">
        <w:rPr>
          <w:rFonts w:asciiTheme="majorBidi" w:hAnsiTheme="majorBidi" w:cstheme="majorBidi" w:hint="cs"/>
          <w:b/>
          <w:bCs/>
          <w:sz w:val="24"/>
          <w:szCs w:val="24"/>
          <w:rtl/>
          <w:lang w:bidi="ar-DZ"/>
        </w:rPr>
        <w:t>المقا</w:t>
      </w:r>
      <w:r w:rsidR="00BC2291" w:rsidRPr="00FC38EC">
        <w:rPr>
          <w:rFonts w:asciiTheme="majorBidi" w:hAnsiTheme="majorBidi" w:cstheme="majorBidi"/>
          <w:b/>
          <w:bCs/>
          <w:sz w:val="24"/>
          <w:szCs w:val="24"/>
          <w:rtl/>
        </w:rPr>
        <w:t>و</w:t>
      </w:r>
      <w:r w:rsidR="00BC2291">
        <w:rPr>
          <w:rFonts w:asciiTheme="majorBidi" w:hAnsiTheme="majorBidi" w:cstheme="majorBidi" w:hint="cs"/>
          <w:b/>
          <w:bCs/>
          <w:sz w:val="24"/>
          <w:szCs w:val="24"/>
          <w:rtl/>
        </w:rPr>
        <w:t>تي</w:t>
      </w:r>
      <w:r w:rsidR="00BC2291" w:rsidRPr="00540F70">
        <w:rPr>
          <w:rFonts w:asciiTheme="majorBidi" w:hAnsiTheme="majorBidi" w:cstheme="majorBidi"/>
          <w:b/>
          <w:bCs/>
          <w:sz w:val="24"/>
          <w:szCs w:val="24"/>
          <w:rtl/>
        </w:rPr>
        <w:t>ة</w:t>
      </w:r>
      <w:proofErr w:type="spellEnd"/>
      <w:r w:rsidR="00BF682B">
        <w:rPr>
          <w:rFonts w:asciiTheme="majorBidi" w:hAnsiTheme="majorBidi" w:cstheme="majorBidi"/>
          <w:b/>
          <w:bCs/>
          <w:sz w:val="24"/>
          <w:szCs w:val="24"/>
          <w:rtl/>
        </w:rPr>
        <w:t xml:space="preserve"> </w:t>
      </w:r>
      <w:r w:rsidRPr="00FC38EC">
        <w:rPr>
          <w:rFonts w:asciiTheme="majorBidi" w:hAnsiTheme="majorBidi" w:cstheme="majorBidi"/>
          <w:b/>
          <w:bCs/>
          <w:sz w:val="24"/>
          <w:szCs w:val="24"/>
          <w:rtl/>
        </w:rPr>
        <w:t>بالمدرسة العليا في للعلوم التطبيقية</w:t>
      </w:r>
      <w:r w:rsidR="00BF682B">
        <w:rPr>
          <w:rFonts w:asciiTheme="majorBidi" w:hAnsiTheme="majorBidi" w:cstheme="majorBidi"/>
          <w:b/>
          <w:bCs/>
          <w:sz w:val="24"/>
          <w:szCs w:val="24"/>
          <w:rtl/>
        </w:rPr>
        <w:t xml:space="preserve"> </w:t>
      </w:r>
      <w:proofErr w:type="spellStart"/>
      <w:r w:rsidR="00FC38EC">
        <w:rPr>
          <w:rFonts w:asciiTheme="majorBidi" w:hAnsiTheme="majorBidi" w:cstheme="majorBidi" w:hint="cs"/>
          <w:b/>
          <w:bCs/>
          <w:sz w:val="24"/>
          <w:szCs w:val="24"/>
          <w:rtl/>
        </w:rPr>
        <w:t>ب</w:t>
      </w:r>
      <w:r w:rsidR="00FC38EC" w:rsidRPr="00FC38EC">
        <w:rPr>
          <w:rFonts w:asciiTheme="majorBidi" w:hAnsiTheme="majorBidi" w:cstheme="majorBidi"/>
          <w:b/>
          <w:bCs/>
          <w:sz w:val="24"/>
          <w:szCs w:val="24"/>
          <w:rtl/>
        </w:rPr>
        <w:t>تلمسان</w:t>
      </w:r>
      <w:proofErr w:type="spellEnd"/>
      <w:r w:rsidR="00BC2291">
        <w:rPr>
          <w:rFonts w:asciiTheme="majorBidi" w:hAnsiTheme="majorBidi" w:cstheme="majorBidi" w:hint="cs"/>
          <w:b/>
          <w:bCs/>
          <w:sz w:val="24"/>
          <w:szCs w:val="24"/>
          <w:rtl/>
        </w:rPr>
        <w:t> </w:t>
      </w:r>
      <w:r w:rsidR="00BC2291">
        <w:rPr>
          <w:rFonts w:asciiTheme="majorBidi" w:hAnsiTheme="majorBidi" w:cstheme="majorBidi"/>
          <w:b/>
          <w:bCs/>
          <w:sz w:val="24"/>
          <w:szCs w:val="24"/>
        </w:rPr>
        <w:t>:</w:t>
      </w:r>
      <w:r w:rsidR="00BF682B">
        <w:rPr>
          <w:rFonts w:asciiTheme="majorBidi" w:hAnsiTheme="majorBidi" w:cstheme="majorBidi"/>
          <w:b/>
          <w:bCs/>
          <w:sz w:val="24"/>
          <w:szCs w:val="24"/>
        </w:rPr>
        <w:t xml:space="preserve"> </w:t>
      </w:r>
      <w:r w:rsidR="00045500" w:rsidRPr="00FC38EC">
        <w:rPr>
          <w:rFonts w:asciiTheme="majorBidi" w:hAnsiTheme="majorBidi" w:cstheme="majorBidi"/>
          <w:b/>
          <w:bCs/>
          <w:sz w:val="24"/>
          <w:szCs w:val="24"/>
          <w:rtl/>
        </w:rPr>
        <w:t>منصة لانطلاقة رواد الأعمال المستقبليين</w:t>
      </w:r>
    </w:p>
    <w:p w:rsidR="00045500" w:rsidRPr="00540F70" w:rsidRDefault="00045500" w:rsidP="00FC38EC">
      <w:pPr>
        <w:bidi/>
        <w:jc w:val="both"/>
        <w:rPr>
          <w:rFonts w:asciiTheme="majorBidi" w:hAnsiTheme="majorBidi" w:cstheme="majorBidi"/>
          <w:sz w:val="24"/>
          <w:szCs w:val="24"/>
        </w:rPr>
      </w:pPr>
      <w:r w:rsidRPr="00540F70">
        <w:rPr>
          <w:rFonts w:asciiTheme="majorBidi" w:hAnsiTheme="majorBidi" w:cstheme="majorBidi"/>
          <w:sz w:val="24"/>
          <w:szCs w:val="24"/>
          <w:rtl/>
        </w:rPr>
        <w:t xml:space="preserve">في تلمسان، يبرز </w:t>
      </w:r>
      <w:r w:rsidRPr="00540F70">
        <w:rPr>
          <w:rFonts w:asciiTheme="majorBidi" w:hAnsiTheme="majorBidi" w:cstheme="majorBidi"/>
          <w:b/>
          <w:bCs/>
          <w:sz w:val="24"/>
          <w:szCs w:val="24"/>
          <w:rtl/>
        </w:rPr>
        <w:t>مركز تطوير ريادة الأعمال</w:t>
      </w:r>
      <w:r w:rsidRPr="00540F70">
        <w:rPr>
          <w:rFonts w:asciiTheme="majorBidi" w:hAnsiTheme="majorBidi" w:cstheme="majorBidi"/>
          <w:b/>
          <w:bCs/>
          <w:sz w:val="24"/>
          <w:szCs w:val="24"/>
        </w:rPr>
        <w:t xml:space="preserve"> (CDE)</w:t>
      </w:r>
      <w:r w:rsidRPr="00540F70">
        <w:rPr>
          <w:rFonts w:asciiTheme="majorBidi" w:hAnsiTheme="majorBidi" w:cstheme="majorBidi"/>
          <w:sz w:val="24"/>
          <w:szCs w:val="24"/>
          <w:rtl/>
        </w:rPr>
        <w:t xml:space="preserve">التابع </w:t>
      </w:r>
      <w:r w:rsidRPr="00FC38EC">
        <w:rPr>
          <w:rFonts w:asciiTheme="majorBidi" w:hAnsiTheme="majorBidi" w:cstheme="majorBidi"/>
          <w:b/>
          <w:bCs/>
          <w:sz w:val="24"/>
          <w:szCs w:val="24"/>
          <w:rtl/>
        </w:rPr>
        <w:t xml:space="preserve">للمدرسة العليا </w:t>
      </w:r>
      <w:r w:rsidR="00FC38EC" w:rsidRPr="00FC38EC">
        <w:rPr>
          <w:rFonts w:asciiTheme="majorBidi" w:hAnsiTheme="majorBidi" w:cstheme="majorBidi" w:hint="cs"/>
          <w:b/>
          <w:bCs/>
          <w:sz w:val="24"/>
          <w:szCs w:val="24"/>
          <w:rtl/>
        </w:rPr>
        <w:t>في ل</w:t>
      </w:r>
      <w:r w:rsidR="00FC38EC" w:rsidRPr="00FC38EC">
        <w:rPr>
          <w:rFonts w:asciiTheme="majorBidi" w:hAnsiTheme="majorBidi" w:cstheme="majorBidi"/>
          <w:b/>
          <w:bCs/>
          <w:sz w:val="24"/>
          <w:szCs w:val="24"/>
          <w:rtl/>
        </w:rPr>
        <w:t>لعلوم</w:t>
      </w:r>
      <w:r w:rsidRPr="00FC38EC">
        <w:rPr>
          <w:rFonts w:asciiTheme="majorBidi" w:hAnsiTheme="majorBidi" w:cstheme="majorBidi"/>
          <w:b/>
          <w:bCs/>
          <w:sz w:val="24"/>
          <w:szCs w:val="24"/>
          <w:rtl/>
        </w:rPr>
        <w:t xml:space="preserve"> التطبيقية</w:t>
      </w:r>
      <w:r w:rsidR="00BF682B">
        <w:rPr>
          <w:rFonts w:asciiTheme="majorBidi" w:hAnsiTheme="majorBidi" w:cstheme="majorBidi"/>
          <w:b/>
          <w:bCs/>
          <w:sz w:val="24"/>
          <w:szCs w:val="24"/>
          <w:rtl/>
        </w:rPr>
        <w:t xml:space="preserve"> </w:t>
      </w:r>
      <w:proofErr w:type="spellStart"/>
      <w:r w:rsidR="00FC38EC">
        <w:rPr>
          <w:rFonts w:asciiTheme="majorBidi" w:hAnsiTheme="majorBidi" w:cstheme="majorBidi" w:hint="cs"/>
          <w:b/>
          <w:bCs/>
          <w:sz w:val="24"/>
          <w:szCs w:val="24"/>
          <w:rtl/>
        </w:rPr>
        <w:t>ب</w:t>
      </w:r>
      <w:r w:rsidR="00FC38EC" w:rsidRPr="00FC38EC">
        <w:rPr>
          <w:rFonts w:asciiTheme="majorBidi" w:hAnsiTheme="majorBidi" w:cstheme="majorBidi"/>
          <w:b/>
          <w:bCs/>
          <w:sz w:val="24"/>
          <w:szCs w:val="24"/>
          <w:rtl/>
        </w:rPr>
        <w:t>تلمسان</w:t>
      </w:r>
      <w:proofErr w:type="spellEnd"/>
      <w:r w:rsidR="00BF682B">
        <w:rPr>
          <w:rFonts w:asciiTheme="majorBidi" w:hAnsiTheme="majorBidi" w:cstheme="majorBidi"/>
          <w:b/>
          <w:bCs/>
          <w:sz w:val="24"/>
          <w:szCs w:val="24"/>
          <w:rtl/>
        </w:rPr>
        <w:t xml:space="preserve"> </w:t>
      </w:r>
      <w:r w:rsidRPr="00540F70">
        <w:rPr>
          <w:rFonts w:asciiTheme="majorBidi" w:hAnsiTheme="majorBidi" w:cstheme="majorBidi"/>
          <w:sz w:val="24"/>
          <w:szCs w:val="24"/>
          <w:rtl/>
        </w:rPr>
        <w:t>كقاطرة حقيقية للابتكار وإنشاء المؤسسات. فمن التصنيع الصناعي إلى الزراعة مرورًا بمستحضرات التجميل، يرافق المركز رواد الأعمال في تجسيد مشاريعهم، مسهِّلًا ظهور مؤسسات مبتكرة متخصصة في زراعة الفطر، وإنتاج الكابلات الكهربائية، فضلًا عن حلول التعقيم الكحولي</w:t>
      </w:r>
      <w:r w:rsidRPr="00540F70">
        <w:rPr>
          <w:rFonts w:asciiTheme="majorBidi" w:hAnsiTheme="majorBidi" w:cstheme="majorBidi"/>
          <w:sz w:val="24"/>
          <w:szCs w:val="24"/>
        </w:rPr>
        <w:t>.</w:t>
      </w:r>
    </w:p>
    <w:p w:rsidR="00045500" w:rsidRPr="00D554EF" w:rsidRDefault="00045500" w:rsidP="00D554EF">
      <w:pPr>
        <w:bidi/>
        <w:jc w:val="both"/>
        <w:rPr>
          <w:rFonts w:asciiTheme="majorBidi" w:hAnsiTheme="majorBidi"/>
          <w:b/>
          <w:bCs/>
          <w:sz w:val="24"/>
          <w:szCs w:val="24"/>
        </w:rPr>
      </w:pPr>
      <w:r w:rsidRPr="00540F70">
        <w:rPr>
          <w:rFonts w:asciiTheme="majorBidi" w:hAnsiTheme="majorBidi" w:cstheme="majorBidi"/>
          <w:sz w:val="24"/>
          <w:szCs w:val="24"/>
          <w:rtl/>
        </w:rPr>
        <w:t xml:space="preserve">بفضل شراكته </w:t>
      </w:r>
      <w:proofErr w:type="spellStart"/>
      <w:r w:rsidRPr="00540F70">
        <w:rPr>
          <w:rFonts w:asciiTheme="majorBidi" w:hAnsiTheme="majorBidi" w:cstheme="majorBidi"/>
          <w:sz w:val="24"/>
          <w:szCs w:val="24"/>
          <w:rtl/>
        </w:rPr>
        <w:t>الاستراتيجية</w:t>
      </w:r>
      <w:proofErr w:type="spellEnd"/>
      <w:r w:rsidRPr="00540F70">
        <w:rPr>
          <w:rFonts w:asciiTheme="majorBidi" w:hAnsiTheme="majorBidi" w:cstheme="majorBidi"/>
          <w:sz w:val="24"/>
          <w:szCs w:val="24"/>
          <w:rtl/>
        </w:rPr>
        <w:t xml:space="preserve"> مع </w:t>
      </w:r>
      <w:r w:rsidR="00D554EF" w:rsidRPr="00D554EF">
        <w:rPr>
          <w:rFonts w:asciiTheme="majorBidi" w:hAnsiTheme="majorBidi"/>
          <w:b/>
          <w:bCs/>
          <w:sz w:val="24"/>
          <w:szCs w:val="24"/>
          <w:rtl/>
        </w:rPr>
        <w:t xml:space="preserve">الوكالة الوطنية لدعم وتنمية </w:t>
      </w:r>
      <w:proofErr w:type="spellStart"/>
      <w:r w:rsidR="00D554EF" w:rsidRPr="00D554EF">
        <w:rPr>
          <w:rFonts w:asciiTheme="majorBidi" w:hAnsiTheme="majorBidi"/>
          <w:b/>
          <w:bCs/>
          <w:sz w:val="24"/>
          <w:szCs w:val="24"/>
          <w:rtl/>
        </w:rPr>
        <w:t>المقاولاتية</w:t>
      </w:r>
      <w:proofErr w:type="spellEnd"/>
      <w:r w:rsidR="00D554EF">
        <w:rPr>
          <w:rFonts w:asciiTheme="majorBidi" w:hAnsiTheme="majorBidi"/>
          <w:b/>
          <w:bCs/>
          <w:sz w:val="24"/>
          <w:szCs w:val="24"/>
        </w:rPr>
        <w:t>(NESDA)</w:t>
      </w:r>
      <w:proofErr w:type="spellStart"/>
      <w:r w:rsidR="00D554EF">
        <w:rPr>
          <w:rFonts w:asciiTheme="majorBidi" w:hAnsiTheme="majorBidi" w:cstheme="majorBidi" w:hint="cs"/>
          <w:b/>
          <w:bCs/>
          <w:sz w:val="24"/>
          <w:szCs w:val="24"/>
          <w:rtl/>
        </w:rPr>
        <w:t>ب</w:t>
      </w:r>
      <w:r w:rsidR="00D554EF" w:rsidRPr="00FC38EC">
        <w:rPr>
          <w:rFonts w:asciiTheme="majorBidi" w:hAnsiTheme="majorBidi" w:cstheme="majorBidi"/>
          <w:b/>
          <w:bCs/>
          <w:sz w:val="24"/>
          <w:szCs w:val="24"/>
          <w:rtl/>
        </w:rPr>
        <w:t>تلمسان</w:t>
      </w:r>
      <w:proofErr w:type="spellEnd"/>
      <w:r w:rsidRPr="00540F70">
        <w:rPr>
          <w:rFonts w:asciiTheme="majorBidi" w:hAnsiTheme="majorBidi" w:cstheme="majorBidi"/>
          <w:sz w:val="24"/>
          <w:szCs w:val="24"/>
          <w:rtl/>
        </w:rPr>
        <w:t>، يقدّم المركز برامج تدريبية مصممة خصيصًا لاحتياجات رواد الأعمال، وقد نظم عدة دورات تدريبية لتعزيز مهاراتهم وتزويدهم بالأدوات اللازمة للنجاح. كما يوفر مرافقة شخصية تتيح لهم اكتساب الخبرات الضرورية والوصول إلى التمويلات المطلوبة. ومع العديد من المؤسسات المسجّلة رسميًا وأخرى في طور الإطلاق، يساهم المركز في بناء منظومة ريادية ديناميكية تعزز التنمية الاقتصادية محليًا وإقليميًا</w:t>
      </w:r>
      <w:r w:rsidRPr="00540F70">
        <w:rPr>
          <w:rFonts w:asciiTheme="majorBidi" w:hAnsiTheme="majorBidi" w:cstheme="majorBidi"/>
          <w:sz w:val="24"/>
          <w:szCs w:val="24"/>
        </w:rPr>
        <w:t>.</w:t>
      </w:r>
    </w:p>
    <w:p w:rsidR="00045500" w:rsidRPr="00045500" w:rsidRDefault="00045500" w:rsidP="00045500">
      <w:pPr>
        <w:bidi/>
      </w:pPr>
    </w:p>
    <w:p w:rsidR="00703AB8" w:rsidRPr="00045500" w:rsidRDefault="00A87DEE" w:rsidP="00A87DEE">
      <w:pPr>
        <w:bidi/>
        <w:jc w:val="center"/>
        <w:rPr>
          <w:rtl/>
        </w:rPr>
      </w:pPr>
      <w:r w:rsidRPr="00A87DEE">
        <w:drawing>
          <wp:inline distT="0" distB="0" distL="0" distR="0">
            <wp:extent cx="2432050" cy="990600"/>
            <wp:effectExtent l="0" t="0" r="0" b="0"/>
            <wp:docPr id="3" name="Image 3" descr="C:\Users\inovantis\Desktop\ESSAT\Logo ESSAT.png"/>
            <wp:cNvGraphicFramePr/>
            <a:graphic xmlns:a="http://schemas.openxmlformats.org/drawingml/2006/main">
              <a:graphicData uri="http://schemas.openxmlformats.org/drawingml/2006/picture">
                <pic:pic xmlns:pic="http://schemas.openxmlformats.org/drawingml/2006/picture">
                  <pic:nvPicPr>
                    <pic:cNvPr id="5" name="Picture 2" descr="C:\Users\inovantis\Desktop\ESSAT\Logo ESSAT.png"/>
                    <pic:cNvPicPr>
                      <a:picLocks noChangeAspect="1" noChangeArrowheads="1"/>
                    </pic:cNvPicPr>
                  </pic:nvPicPr>
                  <pic:blipFill>
                    <a:blip r:embed="rId4" cstate="print">
                      <a:extLst>
                        <a:ext uri="{28A0092B-C50C-407E-A947-70E740481C1C}">
                          <a14:useLocalDpi xmlns:p="http://schemas.openxmlformats.org/presentationml/2006/main" xmlns:a14="http://schemas.microsoft.com/office/drawing/2010/main" xmlns="" xmlns:lc="http://schemas.openxmlformats.org/drawingml/2006/lockedCanvas" val="0"/>
                        </a:ext>
                      </a:extLst>
                    </a:blip>
                    <a:srcRect/>
                    <a:stretch>
                      <a:fillRect/>
                    </a:stretch>
                  </pic:blipFill>
                  <pic:spPr bwMode="auto">
                    <a:xfrm>
                      <a:off x="0" y="0"/>
                      <a:ext cx="2431385" cy="990329"/>
                    </a:xfrm>
                    <a:prstGeom prst="rect">
                      <a:avLst/>
                    </a:prstGeom>
                    <a:noFill/>
                    <a:extLst>
                      <a:ext uri="{909E8E84-426E-40DD-AFC4-6F175D3DCCD1}">
                        <a14:hiddenFill xmlns:p="http://schemas.openxmlformats.org/presentationml/2006/main" xmlns:a14="http://schemas.microsoft.com/office/drawing/2010/main" xmlns="" xmlns:lc="http://schemas.openxmlformats.org/drawingml/2006/lockedCanvas">
                          <a:solidFill>
                            <a:srgbClr val="FFFFFF"/>
                          </a:solidFill>
                        </a14:hiddenFill>
                      </a:ext>
                    </a:extLst>
                  </pic:spPr>
                </pic:pic>
              </a:graphicData>
            </a:graphic>
          </wp:inline>
        </w:drawing>
      </w:r>
      <w:r w:rsidRPr="00A87DEE">
        <w:drawing>
          <wp:inline distT="0" distB="0" distL="0" distR="0">
            <wp:extent cx="952500" cy="939800"/>
            <wp:effectExtent l="19050" t="0" r="0" b="0"/>
            <wp:docPr id="4" name="Image 4" descr="https://scontent.falg7-1.fna.fbcdn.net/v/t39.30808-6/426288879_877841501015878_2890756925123276437_n.jpg?_nc_cat=111&amp;ccb=1-7&amp;_nc_sid=5f2048&amp;_nc_ohc=O0Fi7oygb_cQ7kNvgHx7AC8&amp;_nc_ht=scontent.falg7-1.fna&amp;oh=00_AYB8bvX76THMIK58KSWQoJujp9fSnMSzxQVqt2J38CRD_w&amp;oe=6643A447"/>
            <wp:cNvGraphicFramePr/>
            <a:graphic xmlns:a="http://schemas.openxmlformats.org/drawingml/2006/main">
              <a:graphicData uri="http://schemas.openxmlformats.org/drawingml/2006/picture">
                <pic:pic xmlns:pic="http://schemas.openxmlformats.org/drawingml/2006/picture">
                  <pic:nvPicPr>
                    <pic:cNvPr id="19" name="Picture 2" descr="https://scontent.falg7-1.fna.fbcdn.net/v/t39.30808-6/426288879_877841501015878_2890756925123276437_n.jpg?_nc_cat=111&amp;ccb=1-7&amp;_nc_sid=5f2048&amp;_nc_ohc=O0Fi7oygb_cQ7kNvgHx7AC8&amp;_nc_ht=scontent.falg7-1.fna&amp;oh=00_AYB8bvX76THMIK58KSWQoJujp9fSnMSzxQVqt2J38CRD_w&amp;oe=6643A447"/>
                    <pic:cNvPicPr>
                      <a:picLocks noChangeAspect="1" noChangeArrowheads="1"/>
                    </pic:cNvPicPr>
                  </pic:nvPicPr>
                  <pic:blipFill>
                    <a:blip r:embed="rId5" cstate="print"/>
                    <a:srcRect/>
                    <a:stretch>
                      <a:fillRect/>
                    </a:stretch>
                  </pic:blipFill>
                  <pic:spPr bwMode="auto">
                    <a:xfrm>
                      <a:off x="0" y="0"/>
                      <a:ext cx="952237" cy="939541"/>
                    </a:xfrm>
                    <a:prstGeom prst="rect">
                      <a:avLst/>
                    </a:prstGeom>
                    <a:noFill/>
                  </pic:spPr>
                </pic:pic>
              </a:graphicData>
            </a:graphic>
          </wp:inline>
        </w:drawing>
      </w:r>
    </w:p>
    <w:p w:rsidR="00703AB8" w:rsidRDefault="00703AB8" w:rsidP="00045500">
      <w:pPr>
        <w:bidi/>
        <w:rPr>
          <w:rtl/>
        </w:rPr>
      </w:pPr>
    </w:p>
    <w:p w:rsidR="00A84943" w:rsidRDefault="00A84943" w:rsidP="00A84943">
      <w:pPr>
        <w:pStyle w:val="Titre3"/>
      </w:pPr>
      <w:r>
        <w:rPr>
          <w:rStyle w:val="lev"/>
          <w:b/>
          <w:bCs/>
        </w:rPr>
        <w:t>Le CDE de l’ESSAT : Un Tremplin pour les Entrepreneurs de Demain</w:t>
      </w:r>
    </w:p>
    <w:p w:rsidR="00A84943" w:rsidRDefault="00A84943" w:rsidP="002927AD">
      <w:pPr>
        <w:pStyle w:val="NormalWeb"/>
        <w:jc w:val="both"/>
      </w:pPr>
      <w:r>
        <w:t xml:space="preserve">À Tlemcen, le </w:t>
      </w:r>
      <w:r>
        <w:rPr>
          <w:rStyle w:val="lev"/>
        </w:rPr>
        <w:t>Centre de Développement de l’Entrepreneuriat (CDE)</w:t>
      </w:r>
      <w:r>
        <w:t xml:space="preserve"> de </w:t>
      </w:r>
      <w:r w:rsidRPr="00540F70">
        <w:rPr>
          <w:b/>
          <w:bCs/>
        </w:rPr>
        <w:t xml:space="preserve">l’École Supérieure </w:t>
      </w:r>
      <w:r w:rsidR="002927AD">
        <w:rPr>
          <w:b/>
          <w:bCs/>
        </w:rPr>
        <w:t>e</w:t>
      </w:r>
      <w:r w:rsidRPr="00540F70">
        <w:rPr>
          <w:b/>
          <w:bCs/>
        </w:rPr>
        <w:t xml:space="preserve"> Sciences Appliquées</w:t>
      </w:r>
      <w:r w:rsidR="00540F70">
        <w:rPr>
          <w:b/>
          <w:bCs/>
        </w:rPr>
        <w:t>(ESSAT)</w:t>
      </w:r>
      <w:r>
        <w:t xml:space="preserve"> se distingue comme un véritable moteur de l’innovation et de la création d’entreprises. De la fabrication industrielle à l’agriculture, en passant par la cosmétique, il accompagne les entrepreneurs dans la concrétisation de leurs projets, facilitant l’émergence d’entreprises innovantes spécialisées dans la culture de champignons, la production de câbles électriques et les solutions hydro</w:t>
      </w:r>
      <w:r w:rsidR="00BF682B">
        <w:t>-</w:t>
      </w:r>
      <w:r>
        <w:t>alcooliques.</w:t>
      </w:r>
    </w:p>
    <w:p w:rsidR="00703AB8" w:rsidRPr="00703AB8" w:rsidRDefault="00A84943" w:rsidP="00A87DEE">
      <w:pPr>
        <w:pStyle w:val="NormalWeb"/>
        <w:jc w:val="both"/>
        <w:rPr>
          <w:rtl/>
          <w:lang w:bidi="ar-DZ"/>
        </w:rPr>
      </w:pPr>
      <w:r>
        <w:t xml:space="preserve">Grâce à son partenariat stratégique avec </w:t>
      </w:r>
      <w:r>
        <w:rPr>
          <w:rStyle w:val="lev"/>
        </w:rPr>
        <w:t>NESDA Tlemcen</w:t>
      </w:r>
      <w:r>
        <w:t xml:space="preserve">, </w:t>
      </w:r>
      <w:r w:rsidR="00DD43E2" w:rsidRPr="00DD43E2">
        <w:t>Le CDE met à disposition des porteurs de projets des programmes de formation et a organisé plusieurs sessions afin de renforcer leurs compétences et de leur fournir les outils nécessaires à leur réussit</w:t>
      </w:r>
      <w:r w:rsidR="00DD43E2">
        <w:t>e</w:t>
      </w:r>
      <w:bookmarkStart w:id="0" w:name="_GoBack"/>
      <w:bookmarkEnd w:id="0"/>
      <w:r>
        <w:t>. Il offre également un accompagnement personnalisé permettant aux entrepreneurs d’acquérir l’expertise requise et d’accéder aux financements nécessaires. Avec plusieurs entreprises déjà immatriculées et d’autres en phase de lancement, le CDE contribue activement à la création d’un écosystème entrepreneurial dynamique, stimulant ainsi le développement économique local et régional.</w:t>
      </w:r>
    </w:p>
    <w:sectPr w:rsidR="00703AB8" w:rsidRPr="00703AB8" w:rsidSect="001156A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03AB8"/>
    <w:rsid w:val="00045500"/>
    <w:rsid w:val="001156A2"/>
    <w:rsid w:val="002927AD"/>
    <w:rsid w:val="004444B5"/>
    <w:rsid w:val="004D68B7"/>
    <w:rsid w:val="00540F70"/>
    <w:rsid w:val="00690BDC"/>
    <w:rsid w:val="00703AB8"/>
    <w:rsid w:val="00A23625"/>
    <w:rsid w:val="00A84943"/>
    <w:rsid w:val="00A87DEE"/>
    <w:rsid w:val="00BC2291"/>
    <w:rsid w:val="00BF682B"/>
    <w:rsid w:val="00CC693D"/>
    <w:rsid w:val="00D554EF"/>
    <w:rsid w:val="00DD43E2"/>
    <w:rsid w:val="00F16F44"/>
    <w:rsid w:val="00FC38E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6A2"/>
  </w:style>
  <w:style w:type="paragraph" w:styleId="Titre3">
    <w:name w:val="heading 3"/>
    <w:basedOn w:val="Normal"/>
    <w:link w:val="Titre3Car"/>
    <w:uiPriority w:val="9"/>
    <w:qFormat/>
    <w:rsid w:val="00703AB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D554E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703AB8"/>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703AB8"/>
    <w:rPr>
      <w:b/>
      <w:bCs/>
    </w:rPr>
  </w:style>
  <w:style w:type="paragraph" w:styleId="NormalWeb">
    <w:name w:val="Normal (Web)"/>
    <w:basedOn w:val="Normal"/>
    <w:uiPriority w:val="99"/>
    <w:unhideWhenUsed/>
    <w:rsid w:val="00703AB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D554EF"/>
    <w:rPr>
      <w:rFonts w:asciiTheme="majorHAnsi" w:eastAsiaTheme="majorEastAsia" w:hAnsiTheme="majorHAnsi" w:cstheme="majorBidi"/>
      <w:i/>
      <w:iCs/>
      <w:color w:val="2F5496" w:themeColor="accent1" w:themeShade="BF"/>
    </w:rPr>
  </w:style>
  <w:style w:type="paragraph" w:styleId="Textedebulles">
    <w:name w:val="Balloon Text"/>
    <w:basedOn w:val="Normal"/>
    <w:link w:val="TextedebullesCar"/>
    <w:uiPriority w:val="99"/>
    <w:semiHidden/>
    <w:unhideWhenUsed/>
    <w:rsid w:val="00A87D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7D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18042">
      <w:bodyDiv w:val="1"/>
      <w:marLeft w:val="0"/>
      <w:marRight w:val="0"/>
      <w:marTop w:val="0"/>
      <w:marBottom w:val="0"/>
      <w:divBdr>
        <w:top w:val="none" w:sz="0" w:space="0" w:color="auto"/>
        <w:left w:val="none" w:sz="0" w:space="0" w:color="auto"/>
        <w:bottom w:val="none" w:sz="0" w:space="0" w:color="auto"/>
        <w:right w:val="none" w:sz="0" w:space="0" w:color="auto"/>
      </w:divBdr>
    </w:div>
    <w:div w:id="134420112">
      <w:bodyDiv w:val="1"/>
      <w:marLeft w:val="0"/>
      <w:marRight w:val="0"/>
      <w:marTop w:val="0"/>
      <w:marBottom w:val="0"/>
      <w:divBdr>
        <w:top w:val="none" w:sz="0" w:space="0" w:color="auto"/>
        <w:left w:val="none" w:sz="0" w:space="0" w:color="auto"/>
        <w:bottom w:val="none" w:sz="0" w:space="0" w:color="auto"/>
        <w:right w:val="none" w:sz="0" w:space="0" w:color="auto"/>
      </w:divBdr>
    </w:div>
    <w:div w:id="382020092">
      <w:bodyDiv w:val="1"/>
      <w:marLeft w:val="0"/>
      <w:marRight w:val="0"/>
      <w:marTop w:val="0"/>
      <w:marBottom w:val="0"/>
      <w:divBdr>
        <w:top w:val="none" w:sz="0" w:space="0" w:color="auto"/>
        <w:left w:val="none" w:sz="0" w:space="0" w:color="auto"/>
        <w:bottom w:val="none" w:sz="0" w:space="0" w:color="auto"/>
        <w:right w:val="none" w:sz="0" w:space="0" w:color="auto"/>
      </w:divBdr>
    </w:div>
    <w:div w:id="602491445">
      <w:bodyDiv w:val="1"/>
      <w:marLeft w:val="0"/>
      <w:marRight w:val="0"/>
      <w:marTop w:val="0"/>
      <w:marBottom w:val="0"/>
      <w:divBdr>
        <w:top w:val="none" w:sz="0" w:space="0" w:color="auto"/>
        <w:left w:val="none" w:sz="0" w:space="0" w:color="auto"/>
        <w:bottom w:val="none" w:sz="0" w:space="0" w:color="auto"/>
        <w:right w:val="none" w:sz="0" w:space="0" w:color="auto"/>
      </w:divBdr>
    </w:div>
    <w:div w:id="1011227637">
      <w:bodyDiv w:val="1"/>
      <w:marLeft w:val="0"/>
      <w:marRight w:val="0"/>
      <w:marTop w:val="0"/>
      <w:marBottom w:val="0"/>
      <w:divBdr>
        <w:top w:val="none" w:sz="0" w:space="0" w:color="auto"/>
        <w:left w:val="none" w:sz="0" w:space="0" w:color="auto"/>
        <w:bottom w:val="none" w:sz="0" w:space="0" w:color="auto"/>
        <w:right w:val="none" w:sz="0" w:space="0" w:color="auto"/>
      </w:divBdr>
    </w:div>
    <w:div w:id="1050419689">
      <w:bodyDiv w:val="1"/>
      <w:marLeft w:val="0"/>
      <w:marRight w:val="0"/>
      <w:marTop w:val="0"/>
      <w:marBottom w:val="0"/>
      <w:divBdr>
        <w:top w:val="none" w:sz="0" w:space="0" w:color="auto"/>
        <w:left w:val="none" w:sz="0" w:space="0" w:color="auto"/>
        <w:bottom w:val="none" w:sz="0" w:space="0" w:color="auto"/>
        <w:right w:val="none" w:sz="0" w:space="0" w:color="auto"/>
      </w:divBdr>
    </w:div>
    <w:div w:id="1091857623">
      <w:bodyDiv w:val="1"/>
      <w:marLeft w:val="0"/>
      <w:marRight w:val="0"/>
      <w:marTop w:val="0"/>
      <w:marBottom w:val="0"/>
      <w:divBdr>
        <w:top w:val="none" w:sz="0" w:space="0" w:color="auto"/>
        <w:left w:val="none" w:sz="0" w:space="0" w:color="auto"/>
        <w:bottom w:val="none" w:sz="0" w:space="0" w:color="auto"/>
        <w:right w:val="none" w:sz="0" w:space="0" w:color="auto"/>
      </w:divBdr>
    </w:div>
    <w:div w:id="1609581672">
      <w:bodyDiv w:val="1"/>
      <w:marLeft w:val="0"/>
      <w:marRight w:val="0"/>
      <w:marTop w:val="0"/>
      <w:marBottom w:val="0"/>
      <w:divBdr>
        <w:top w:val="none" w:sz="0" w:space="0" w:color="auto"/>
        <w:left w:val="none" w:sz="0" w:space="0" w:color="auto"/>
        <w:bottom w:val="none" w:sz="0" w:space="0" w:color="auto"/>
        <w:right w:val="none" w:sz="0" w:space="0" w:color="auto"/>
      </w:divBdr>
    </w:div>
    <w:div w:id="1955166562">
      <w:bodyDiv w:val="1"/>
      <w:marLeft w:val="0"/>
      <w:marRight w:val="0"/>
      <w:marTop w:val="0"/>
      <w:marBottom w:val="0"/>
      <w:divBdr>
        <w:top w:val="none" w:sz="0" w:space="0" w:color="auto"/>
        <w:left w:val="none" w:sz="0" w:space="0" w:color="auto"/>
        <w:bottom w:val="none" w:sz="0" w:space="0" w:color="auto"/>
        <w:right w:val="none" w:sz="0" w:space="0" w:color="auto"/>
      </w:divBdr>
    </w:div>
    <w:div w:id="2020430372">
      <w:bodyDiv w:val="1"/>
      <w:marLeft w:val="0"/>
      <w:marRight w:val="0"/>
      <w:marTop w:val="0"/>
      <w:marBottom w:val="0"/>
      <w:divBdr>
        <w:top w:val="none" w:sz="0" w:space="0" w:color="auto"/>
        <w:left w:val="none" w:sz="0" w:space="0" w:color="auto"/>
        <w:bottom w:val="none" w:sz="0" w:space="0" w:color="auto"/>
        <w:right w:val="none" w:sz="0" w:space="0" w:color="auto"/>
      </w:divBdr>
    </w:div>
    <w:div w:id="21130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1819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dc:creator>
  <cp:lastModifiedBy>D</cp:lastModifiedBy>
  <cp:revision>3</cp:revision>
  <dcterms:created xsi:type="dcterms:W3CDTF">2025-05-15T14:14:00Z</dcterms:created>
  <dcterms:modified xsi:type="dcterms:W3CDTF">2025-05-15T14:19:00Z</dcterms:modified>
</cp:coreProperties>
</file>